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2A6" w:rsidRPr="00C142A6" w:rsidRDefault="00C142A6" w:rsidP="00C142A6">
      <w:pPr>
        <w:pStyle w:val="NoSpacing"/>
        <w:jc w:val="center"/>
        <w:rPr>
          <w:b/>
        </w:rPr>
      </w:pPr>
      <w:bookmarkStart w:id="0" w:name="_GoBack"/>
      <w:bookmarkEnd w:id="0"/>
      <w:r w:rsidRPr="00C142A6">
        <w:rPr>
          <w:b/>
        </w:rPr>
        <w:t>Summary of the Statement of Principles Regarding Risk Classification</w:t>
      </w:r>
    </w:p>
    <w:p w:rsidR="00C142A6" w:rsidRPr="00C142A6" w:rsidRDefault="00C142A6" w:rsidP="00C142A6">
      <w:pPr>
        <w:pStyle w:val="NoSpacing"/>
        <w:jc w:val="center"/>
        <w:rPr>
          <w:i/>
        </w:rPr>
      </w:pPr>
      <w:r>
        <w:rPr>
          <w:i/>
        </w:rPr>
        <w:t>All quotes are from this SOP with page numbers noted</w:t>
      </w:r>
    </w:p>
    <w:p w:rsidR="00C142A6" w:rsidRDefault="00C142A6" w:rsidP="00C142A6">
      <w:pPr>
        <w:pStyle w:val="NoSpacing"/>
      </w:pPr>
    </w:p>
    <w:p w:rsidR="00000000" w:rsidRPr="00C142A6" w:rsidRDefault="007B25FC" w:rsidP="00C142A6">
      <w:pPr>
        <w:pStyle w:val="NoSpacing"/>
        <w:rPr>
          <w:u w:val="single"/>
        </w:rPr>
      </w:pPr>
      <w:r w:rsidRPr="00C142A6">
        <w:rPr>
          <w:u w:val="single"/>
        </w:rPr>
        <w:t>Underwriting</w:t>
      </w:r>
    </w:p>
    <w:p w:rsidR="00C142A6" w:rsidRPr="00C142A6" w:rsidRDefault="00C142A6" w:rsidP="00C142A6">
      <w:pPr>
        <w:pStyle w:val="NoSpacing"/>
      </w:pPr>
      <w:r w:rsidRPr="00C142A6">
        <w:t>“Underwriting is the process of determining the acceptability of a risk based on its own merits.”  (</w:t>
      </w:r>
      <w:proofErr w:type="gramStart"/>
      <w:r w:rsidRPr="00C142A6">
        <w:t>page</w:t>
      </w:r>
      <w:proofErr w:type="gramEnd"/>
      <w:r w:rsidRPr="00C142A6">
        <w:t xml:space="preserve"> 7)</w:t>
      </w:r>
    </w:p>
    <w:p w:rsidR="00C142A6" w:rsidRDefault="00C142A6" w:rsidP="00C142A6">
      <w:pPr>
        <w:pStyle w:val="NoSpacing"/>
      </w:pPr>
    </w:p>
    <w:p w:rsidR="00C142A6" w:rsidRPr="00C142A6" w:rsidRDefault="00C142A6" w:rsidP="00C142A6">
      <w:pPr>
        <w:pStyle w:val="NoSpacing"/>
      </w:pPr>
      <w:r w:rsidRPr="00C142A6">
        <w:t>Developing a risk classification system is separate from underwriting, and provides the context in which underwriting is done.</w:t>
      </w:r>
    </w:p>
    <w:p w:rsidR="00C142A6" w:rsidRDefault="00C142A6" w:rsidP="00C142A6">
      <w:pPr>
        <w:pStyle w:val="NoSpacing"/>
      </w:pPr>
    </w:p>
    <w:p w:rsidR="00C142A6" w:rsidRDefault="00C142A6" w:rsidP="00C142A6">
      <w:pPr>
        <w:pStyle w:val="NoSpacing"/>
      </w:pPr>
    </w:p>
    <w:p w:rsidR="00000000" w:rsidRPr="00C142A6" w:rsidRDefault="007B25FC" w:rsidP="00C142A6">
      <w:pPr>
        <w:pStyle w:val="NoSpacing"/>
        <w:rPr>
          <w:u w:val="single"/>
        </w:rPr>
      </w:pPr>
      <w:r w:rsidRPr="00C142A6">
        <w:rPr>
          <w:u w:val="single"/>
        </w:rPr>
        <w:t>Marketing</w:t>
      </w:r>
    </w:p>
    <w:p w:rsidR="00C142A6" w:rsidRPr="00C142A6" w:rsidRDefault="00C142A6" w:rsidP="00C142A6">
      <w:pPr>
        <w:pStyle w:val="NoSpacing"/>
      </w:pPr>
      <w:r w:rsidRPr="00C142A6">
        <w:t>Marketing impacts the mix of business you write.  If there are distortions in the risk classification system, the mix of business can impact profitability.</w:t>
      </w:r>
    </w:p>
    <w:p w:rsidR="00C142A6" w:rsidRDefault="00C142A6" w:rsidP="00C142A6">
      <w:pPr>
        <w:pStyle w:val="NoSpacing"/>
      </w:pPr>
    </w:p>
    <w:p w:rsidR="00C142A6" w:rsidRDefault="00C142A6" w:rsidP="00C142A6">
      <w:pPr>
        <w:pStyle w:val="NoSpacing"/>
      </w:pPr>
    </w:p>
    <w:p w:rsidR="00000000" w:rsidRPr="00C142A6" w:rsidRDefault="007B25FC" w:rsidP="00C142A6">
      <w:pPr>
        <w:pStyle w:val="NoSpacing"/>
        <w:rPr>
          <w:u w:val="single"/>
        </w:rPr>
      </w:pPr>
      <w:r w:rsidRPr="00C142A6">
        <w:rPr>
          <w:u w:val="single"/>
        </w:rPr>
        <w:t>Program design</w:t>
      </w:r>
    </w:p>
    <w:p w:rsidR="00C142A6" w:rsidRPr="00C142A6" w:rsidRDefault="00C142A6" w:rsidP="00C142A6">
      <w:pPr>
        <w:pStyle w:val="NoSpacing"/>
        <w:numPr>
          <w:ilvl w:val="0"/>
          <w:numId w:val="4"/>
        </w:numPr>
      </w:pPr>
      <w:r w:rsidRPr="00C142A6">
        <w:rPr>
          <w:b/>
          <w:i/>
          <w:iCs/>
        </w:rPr>
        <w:t>Degree of choice available to the buyer</w:t>
      </w:r>
      <w:r w:rsidRPr="00C142A6">
        <w:rPr>
          <w:i/>
          <w:iCs/>
        </w:rPr>
        <w:t xml:space="preserve"> </w:t>
      </w:r>
      <w:r w:rsidRPr="00C142A6">
        <w:t>– If coverage is compulsory and without competitors, broad classifications may be possible without adverse selection.</w:t>
      </w:r>
    </w:p>
    <w:p w:rsidR="00C142A6" w:rsidRPr="00C142A6" w:rsidRDefault="00C142A6" w:rsidP="00C142A6">
      <w:pPr>
        <w:pStyle w:val="NoSpacing"/>
        <w:numPr>
          <w:ilvl w:val="0"/>
          <w:numId w:val="4"/>
        </w:numPr>
      </w:pPr>
      <w:r w:rsidRPr="00C142A6">
        <w:rPr>
          <w:b/>
          <w:i/>
          <w:iCs/>
        </w:rPr>
        <w:t>Experience-based pricing</w:t>
      </w:r>
      <w:r w:rsidRPr="00C142A6">
        <w:rPr>
          <w:i/>
          <w:iCs/>
        </w:rPr>
        <w:t xml:space="preserve"> </w:t>
      </w:r>
      <w:r w:rsidRPr="00C142A6">
        <w:t>– To the extent this is used, less refined initial classifications are needed.</w:t>
      </w:r>
    </w:p>
    <w:p w:rsidR="00C142A6" w:rsidRPr="00C142A6" w:rsidRDefault="00C142A6" w:rsidP="00C142A6">
      <w:pPr>
        <w:pStyle w:val="NoSpacing"/>
        <w:numPr>
          <w:ilvl w:val="0"/>
          <w:numId w:val="4"/>
        </w:numPr>
      </w:pPr>
      <w:r w:rsidRPr="00C142A6">
        <w:rPr>
          <w:b/>
          <w:i/>
          <w:iCs/>
        </w:rPr>
        <w:t>Premium payer</w:t>
      </w:r>
      <w:r w:rsidRPr="00C142A6">
        <w:rPr>
          <w:i/>
          <w:iCs/>
        </w:rPr>
        <w:t xml:space="preserve"> </w:t>
      </w:r>
      <w:r w:rsidRPr="00C142A6">
        <w:t>– Broad classifications can also be used if the insured is not the one bearing the cost.</w:t>
      </w:r>
    </w:p>
    <w:p w:rsidR="00C142A6" w:rsidRDefault="00C142A6" w:rsidP="00C142A6">
      <w:pPr>
        <w:pStyle w:val="NoSpacing"/>
      </w:pPr>
    </w:p>
    <w:p w:rsidR="007B25FC" w:rsidRDefault="007B25FC" w:rsidP="00C142A6">
      <w:pPr>
        <w:pStyle w:val="NoSpacing"/>
      </w:pPr>
    </w:p>
    <w:p w:rsidR="00000000" w:rsidRPr="00C142A6" w:rsidRDefault="007B25FC" w:rsidP="00C142A6">
      <w:pPr>
        <w:pStyle w:val="NoSpacing"/>
        <w:rPr>
          <w:u w:val="single"/>
        </w:rPr>
      </w:pPr>
      <w:r w:rsidRPr="00C142A6">
        <w:rPr>
          <w:u w:val="single"/>
        </w:rPr>
        <w:t>Statistical considerations</w:t>
      </w:r>
    </w:p>
    <w:p w:rsidR="00C142A6" w:rsidRPr="00C142A6" w:rsidRDefault="00C142A6" w:rsidP="00C142A6">
      <w:pPr>
        <w:pStyle w:val="NoSpacing"/>
        <w:numPr>
          <w:ilvl w:val="0"/>
          <w:numId w:val="5"/>
        </w:numPr>
      </w:pPr>
      <w:r w:rsidRPr="00C142A6">
        <w:rPr>
          <w:b/>
          <w:i/>
          <w:iCs/>
        </w:rPr>
        <w:t>Homogeneity</w:t>
      </w:r>
      <w:r w:rsidRPr="00C142A6">
        <w:rPr>
          <w:i/>
          <w:iCs/>
        </w:rPr>
        <w:t xml:space="preserve"> </w:t>
      </w:r>
      <w:r w:rsidRPr="00C142A6">
        <w:t>– Expected costs for risks in a class should be reasonably similar.</w:t>
      </w:r>
    </w:p>
    <w:p w:rsidR="00C142A6" w:rsidRPr="00C142A6" w:rsidRDefault="00C142A6" w:rsidP="00C142A6">
      <w:pPr>
        <w:pStyle w:val="NoSpacing"/>
        <w:numPr>
          <w:ilvl w:val="0"/>
          <w:numId w:val="5"/>
        </w:numPr>
      </w:pPr>
      <w:r w:rsidRPr="00C142A6">
        <w:rPr>
          <w:b/>
          <w:i/>
          <w:iCs/>
        </w:rPr>
        <w:t>Credibility</w:t>
      </w:r>
      <w:r w:rsidRPr="00C142A6">
        <w:rPr>
          <w:i/>
          <w:iCs/>
        </w:rPr>
        <w:t xml:space="preserve"> </w:t>
      </w:r>
      <w:r w:rsidRPr="00C142A6">
        <w:t>– The larger the number of observations, the more accurate are statistical predictions.</w:t>
      </w:r>
    </w:p>
    <w:p w:rsidR="00C142A6" w:rsidRPr="00C142A6" w:rsidRDefault="00C142A6" w:rsidP="00C142A6">
      <w:pPr>
        <w:pStyle w:val="NoSpacing"/>
        <w:numPr>
          <w:ilvl w:val="0"/>
          <w:numId w:val="5"/>
        </w:numPr>
      </w:pPr>
      <w:r w:rsidRPr="00C142A6">
        <w:rPr>
          <w:b/>
          <w:i/>
          <w:iCs/>
        </w:rPr>
        <w:t>Predictive Stability</w:t>
      </w:r>
      <w:r w:rsidRPr="00C142A6">
        <w:rPr>
          <w:i/>
          <w:iCs/>
        </w:rPr>
        <w:t xml:space="preserve"> </w:t>
      </w:r>
      <w:r w:rsidRPr="00C142A6">
        <w:t>– Ultimately we are trying to predict future costs.  “The predictive capability must be responsive to changes in the nature of insurance losses, yet stable in avoiding unwarranted abrupt changes in resulting prices.”  (page 10)</w:t>
      </w:r>
    </w:p>
    <w:p w:rsidR="00C142A6" w:rsidRDefault="00C142A6" w:rsidP="00C142A6">
      <w:pPr>
        <w:pStyle w:val="NoSpacing"/>
      </w:pPr>
    </w:p>
    <w:p w:rsidR="007B25FC" w:rsidRDefault="007B25FC" w:rsidP="00C142A6">
      <w:pPr>
        <w:pStyle w:val="NoSpacing"/>
      </w:pPr>
    </w:p>
    <w:p w:rsidR="00000000" w:rsidRPr="00C142A6" w:rsidRDefault="007B25FC" w:rsidP="00C142A6">
      <w:pPr>
        <w:pStyle w:val="NoSpacing"/>
        <w:rPr>
          <w:u w:val="single"/>
        </w:rPr>
      </w:pPr>
      <w:r w:rsidRPr="00C142A6">
        <w:rPr>
          <w:u w:val="single"/>
        </w:rPr>
        <w:t xml:space="preserve">Operational </w:t>
      </w:r>
      <w:r w:rsidRPr="00C142A6">
        <w:rPr>
          <w:u w:val="single"/>
        </w:rPr>
        <w:t>considerations</w:t>
      </w:r>
    </w:p>
    <w:p w:rsidR="00C142A6" w:rsidRPr="00C142A6" w:rsidRDefault="00C142A6" w:rsidP="00C142A6">
      <w:pPr>
        <w:pStyle w:val="NoSpacing"/>
        <w:numPr>
          <w:ilvl w:val="0"/>
          <w:numId w:val="6"/>
        </w:numPr>
      </w:pPr>
      <w:r w:rsidRPr="00C142A6">
        <w:rPr>
          <w:b/>
          <w:i/>
          <w:iCs/>
        </w:rPr>
        <w:t>Expense</w:t>
      </w:r>
      <w:r w:rsidRPr="00C142A6">
        <w:rPr>
          <w:i/>
          <w:iCs/>
        </w:rPr>
        <w:t xml:space="preserve"> </w:t>
      </w:r>
      <w:r w:rsidRPr="00C142A6">
        <w:t>– The cost of the whole risk classification system should be as low as possible.  The cost of collecting, storing and processing a given variable should be reasonable in relation to the benefit.</w:t>
      </w:r>
    </w:p>
    <w:p w:rsidR="00C142A6" w:rsidRPr="00C142A6" w:rsidRDefault="00C142A6" w:rsidP="00C142A6">
      <w:pPr>
        <w:pStyle w:val="NoSpacing"/>
        <w:numPr>
          <w:ilvl w:val="0"/>
          <w:numId w:val="6"/>
        </w:numPr>
      </w:pPr>
      <w:r w:rsidRPr="00C142A6">
        <w:rPr>
          <w:b/>
          <w:i/>
          <w:iCs/>
        </w:rPr>
        <w:t>Constancy</w:t>
      </w:r>
      <w:r w:rsidRPr="00C142A6">
        <w:rPr>
          <w:b/>
        </w:rPr>
        <w:t xml:space="preserve"> </w:t>
      </w:r>
      <w:r w:rsidRPr="00C142A6">
        <w:t>– Characteristics should remain constant for a given risk, at least over the insured period.  To the extent that it is not, this will tend to increase the expense and decrease the utility.</w:t>
      </w:r>
    </w:p>
    <w:p w:rsidR="00C142A6" w:rsidRPr="00C142A6" w:rsidRDefault="00C142A6" w:rsidP="00C142A6">
      <w:pPr>
        <w:pStyle w:val="NoSpacing"/>
        <w:numPr>
          <w:ilvl w:val="0"/>
          <w:numId w:val="6"/>
        </w:numPr>
      </w:pPr>
      <w:r w:rsidRPr="00C142A6">
        <w:rPr>
          <w:b/>
          <w:i/>
          <w:iCs/>
        </w:rPr>
        <w:t>Availability of coverage</w:t>
      </w:r>
      <w:r w:rsidRPr="00C142A6">
        <w:rPr>
          <w:i/>
          <w:iCs/>
        </w:rPr>
        <w:t xml:space="preserve"> </w:t>
      </w:r>
      <w:r w:rsidRPr="00C142A6">
        <w:t>– While availability of coverage should be increased through the use of a risk classification system, it is possible that the correct highest rate is beyond what can be afforded.  Sometimes this can be mitigated through limitations on coverage.</w:t>
      </w:r>
    </w:p>
    <w:p w:rsidR="00C142A6" w:rsidRPr="00C142A6" w:rsidRDefault="00C142A6" w:rsidP="00C142A6">
      <w:pPr>
        <w:pStyle w:val="NoSpacing"/>
        <w:numPr>
          <w:ilvl w:val="0"/>
          <w:numId w:val="6"/>
        </w:numPr>
      </w:pPr>
      <w:r w:rsidRPr="00C142A6">
        <w:rPr>
          <w:b/>
          <w:i/>
          <w:iCs/>
        </w:rPr>
        <w:t>Avoidance of extreme discontinuities</w:t>
      </w:r>
      <w:r w:rsidRPr="00C142A6">
        <w:t xml:space="preserve"> – There should be enough classes to establish a reasonable continuum, but few enough classes to leave reasonable differences.  The extreme ends should be examined for possible large rate differences between adjacent classes.</w:t>
      </w:r>
    </w:p>
    <w:p w:rsidR="00C142A6" w:rsidRPr="00C142A6" w:rsidRDefault="00C142A6" w:rsidP="00C142A6">
      <w:pPr>
        <w:pStyle w:val="NoSpacing"/>
        <w:numPr>
          <w:ilvl w:val="0"/>
          <w:numId w:val="6"/>
        </w:numPr>
      </w:pPr>
      <w:r w:rsidRPr="00C142A6">
        <w:rPr>
          <w:b/>
          <w:i/>
          <w:iCs/>
        </w:rPr>
        <w:t>Absence of ambiguity</w:t>
      </w:r>
      <w:r w:rsidRPr="00C142A6">
        <w:rPr>
          <w:i/>
          <w:iCs/>
        </w:rPr>
        <w:t xml:space="preserve"> </w:t>
      </w:r>
      <w:r w:rsidRPr="00C142A6">
        <w:t>– There should be no ambiguity in the assigning of classes.  Classifications should be mutually exclusive and exhaustive.</w:t>
      </w:r>
    </w:p>
    <w:p w:rsidR="00C142A6" w:rsidRPr="00C142A6" w:rsidRDefault="00C142A6" w:rsidP="00C142A6">
      <w:pPr>
        <w:pStyle w:val="NoSpacing"/>
        <w:numPr>
          <w:ilvl w:val="0"/>
          <w:numId w:val="6"/>
        </w:numPr>
      </w:pPr>
      <w:r w:rsidRPr="00C142A6">
        <w:rPr>
          <w:b/>
          <w:i/>
          <w:iCs/>
        </w:rPr>
        <w:t>Manipulation</w:t>
      </w:r>
      <w:r w:rsidRPr="00C142A6">
        <w:rPr>
          <w:i/>
          <w:iCs/>
        </w:rPr>
        <w:t xml:space="preserve"> </w:t>
      </w:r>
      <w:r w:rsidRPr="00C142A6">
        <w:t>– There should be minimal ability for the insured to manipulate or misrepresent their characteristics.</w:t>
      </w:r>
    </w:p>
    <w:p w:rsidR="00C142A6" w:rsidRPr="00C142A6" w:rsidRDefault="00C142A6" w:rsidP="00C142A6">
      <w:pPr>
        <w:pStyle w:val="NoSpacing"/>
        <w:numPr>
          <w:ilvl w:val="0"/>
          <w:numId w:val="6"/>
        </w:numPr>
      </w:pPr>
      <w:r w:rsidRPr="00C142A6">
        <w:rPr>
          <w:b/>
          <w:i/>
          <w:iCs/>
        </w:rPr>
        <w:t>Measurability</w:t>
      </w:r>
      <w:r w:rsidRPr="00C142A6">
        <w:t xml:space="preserve"> – Risk classes should be conveniently and reliably measured.</w:t>
      </w:r>
    </w:p>
    <w:p w:rsidR="00C142A6" w:rsidRDefault="00C142A6" w:rsidP="00C142A6">
      <w:pPr>
        <w:pStyle w:val="NoSpacing"/>
      </w:pPr>
    </w:p>
    <w:p w:rsidR="007B25FC" w:rsidRDefault="007B25FC" w:rsidP="00C142A6">
      <w:pPr>
        <w:pStyle w:val="NoSpacing"/>
      </w:pPr>
    </w:p>
    <w:p w:rsidR="00000000" w:rsidRPr="00C142A6" w:rsidRDefault="007B25FC" w:rsidP="00C142A6">
      <w:pPr>
        <w:pStyle w:val="NoSpacing"/>
        <w:rPr>
          <w:u w:val="single"/>
        </w:rPr>
      </w:pPr>
      <w:r w:rsidRPr="00C142A6">
        <w:rPr>
          <w:u w:val="single"/>
        </w:rPr>
        <w:t>Hazard reduction</w:t>
      </w:r>
    </w:p>
    <w:p w:rsidR="00C142A6" w:rsidRPr="00C142A6" w:rsidRDefault="00C142A6" w:rsidP="00C142A6">
      <w:pPr>
        <w:pStyle w:val="NoSpacing"/>
      </w:pPr>
      <w:r w:rsidRPr="00C142A6">
        <w:t>Sometimes a risk classification system can provide an incentive for an insured to reduce their risk.</w:t>
      </w:r>
    </w:p>
    <w:p w:rsidR="00C142A6" w:rsidRPr="00C142A6" w:rsidRDefault="00C142A6" w:rsidP="00C142A6">
      <w:pPr>
        <w:pStyle w:val="NoSpacing"/>
      </w:pPr>
      <w:r w:rsidRPr="00C142A6">
        <w:t>For example, a stability control discount may encourage the purchase of vehicles with this feature.</w:t>
      </w:r>
    </w:p>
    <w:p w:rsidR="00C142A6" w:rsidRPr="00C142A6" w:rsidRDefault="00C142A6" w:rsidP="00C142A6">
      <w:pPr>
        <w:pStyle w:val="NoSpacing"/>
      </w:pPr>
      <w:r w:rsidRPr="00C142A6">
        <w:t>While desirable, this is not a necessary feature of a risk classification system.</w:t>
      </w:r>
    </w:p>
    <w:p w:rsidR="00C142A6" w:rsidRDefault="00C142A6" w:rsidP="00C142A6">
      <w:pPr>
        <w:pStyle w:val="NoSpacing"/>
      </w:pPr>
    </w:p>
    <w:p w:rsidR="00C142A6" w:rsidRDefault="00C142A6" w:rsidP="00C142A6">
      <w:pPr>
        <w:pStyle w:val="NoSpacing"/>
      </w:pPr>
    </w:p>
    <w:p w:rsidR="00000000" w:rsidRPr="00C142A6" w:rsidRDefault="007B25FC" w:rsidP="00C142A6">
      <w:pPr>
        <w:pStyle w:val="NoSpacing"/>
        <w:rPr>
          <w:u w:val="single"/>
        </w:rPr>
      </w:pPr>
      <w:r w:rsidRPr="00C142A6">
        <w:rPr>
          <w:u w:val="single"/>
        </w:rPr>
        <w:t>Public acceptability</w:t>
      </w:r>
    </w:p>
    <w:p w:rsidR="00C142A6" w:rsidRPr="00C142A6" w:rsidRDefault="00C142A6" w:rsidP="00C142A6">
      <w:pPr>
        <w:pStyle w:val="NoSpacing"/>
      </w:pPr>
      <w:r w:rsidRPr="00C142A6">
        <w:t>A risk classification system must be in line with society’s values.  However, this can be difficult because values…</w:t>
      </w:r>
    </w:p>
    <w:p w:rsidR="00000000" w:rsidRPr="00C142A6" w:rsidRDefault="007B25FC" w:rsidP="00C142A6">
      <w:pPr>
        <w:pStyle w:val="NoSpacing"/>
        <w:numPr>
          <w:ilvl w:val="1"/>
          <w:numId w:val="2"/>
        </w:numPr>
      </w:pPr>
      <w:r w:rsidRPr="00C142A6">
        <w:t>“…are di</w:t>
      </w:r>
      <w:r w:rsidRPr="00C142A6">
        <w:t xml:space="preserve">fficult to ascertain”  </w:t>
      </w:r>
      <w:r w:rsidRPr="00C142A6">
        <w:tab/>
      </w:r>
      <w:r w:rsidRPr="00C142A6">
        <w:tab/>
      </w:r>
      <w:r w:rsidRPr="00C142A6">
        <w:tab/>
      </w:r>
      <w:r w:rsidR="00C142A6">
        <w:tab/>
      </w:r>
      <w:r w:rsidRPr="00C142A6">
        <w:t>(page 14)</w:t>
      </w:r>
    </w:p>
    <w:p w:rsidR="00000000" w:rsidRPr="00C142A6" w:rsidRDefault="007B25FC" w:rsidP="00C142A6">
      <w:pPr>
        <w:pStyle w:val="NoSpacing"/>
        <w:numPr>
          <w:ilvl w:val="1"/>
          <w:numId w:val="2"/>
        </w:numPr>
      </w:pPr>
      <w:r w:rsidRPr="00C142A6">
        <w:t xml:space="preserve">“…vary among segments of the society”  </w:t>
      </w:r>
      <w:r w:rsidRPr="00C142A6">
        <w:tab/>
      </w:r>
      <w:r w:rsidRPr="00C142A6">
        <w:tab/>
      </w:r>
      <w:r w:rsidRPr="00C142A6">
        <w:t>(page 14)</w:t>
      </w:r>
    </w:p>
    <w:p w:rsidR="00000000" w:rsidRPr="00C142A6" w:rsidRDefault="007B25FC" w:rsidP="00C142A6">
      <w:pPr>
        <w:pStyle w:val="NoSpacing"/>
        <w:numPr>
          <w:ilvl w:val="1"/>
          <w:numId w:val="2"/>
        </w:numPr>
      </w:pPr>
      <w:r w:rsidRPr="00C142A6">
        <w:t xml:space="preserve">“…change over time”  </w:t>
      </w:r>
      <w:r w:rsidRPr="00C142A6">
        <w:tab/>
      </w:r>
      <w:r w:rsidRPr="00C142A6">
        <w:tab/>
      </w:r>
      <w:r w:rsidRPr="00C142A6">
        <w:tab/>
      </w:r>
      <w:r w:rsidRPr="00C142A6">
        <w:tab/>
      </w:r>
      <w:r w:rsidR="00C142A6">
        <w:tab/>
      </w:r>
      <w:r w:rsidRPr="00C142A6">
        <w:t>(page 14)</w:t>
      </w:r>
    </w:p>
    <w:p w:rsidR="00C142A6" w:rsidRPr="00C142A6" w:rsidRDefault="00C142A6" w:rsidP="00C142A6">
      <w:pPr>
        <w:pStyle w:val="NoSpacing"/>
      </w:pPr>
      <w:r w:rsidRPr="00C142A6">
        <w:t>To increase public acceptability, a risk classification should…</w:t>
      </w:r>
    </w:p>
    <w:p w:rsidR="00000000" w:rsidRPr="00C142A6" w:rsidRDefault="007B25FC" w:rsidP="00C142A6">
      <w:pPr>
        <w:pStyle w:val="NoSpacing"/>
        <w:numPr>
          <w:ilvl w:val="1"/>
          <w:numId w:val="3"/>
        </w:numPr>
      </w:pPr>
      <w:r w:rsidRPr="00C142A6">
        <w:t xml:space="preserve">“…not differentiate unfairly among risks”  </w:t>
      </w:r>
      <w:r w:rsidRPr="00C142A6">
        <w:tab/>
      </w:r>
      <w:r w:rsidRPr="00C142A6">
        <w:tab/>
      </w:r>
      <w:r w:rsidRPr="00C142A6">
        <w:t>(page 14)</w:t>
      </w:r>
    </w:p>
    <w:p w:rsidR="00000000" w:rsidRPr="00C142A6" w:rsidRDefault="007B25FC" w:rsidP="00C142A6">
      <w:pPr>
        <w:pStyle w:val="NoSpacing"/>
        <w:numPr>
          <w:ilvl w:val="1"/>
          <w:numId w:val="3"/>
        </w:numPr>
      </w:pPr>
      <w:r w:rsidRPr="00C142A6">
        <w:t xml:space="preserve">“…be based upon clearly relevant data”  </w:t>
      </w:r>
      <w:r w:rsidRPr="00C142A6">
        <w:tab/>
      </w:r>
      <w:r w:rsidRPr="00C142A6">
        <w:tab/>
      </w:r>
      <w:r w:rsidRPr="00C142A6">
        <w:t>(page 14</w:t>
      </w:r>
      <w:r w:rsidRPr="00C142A6">
        <w:t>)</w:t>
      </w:r>
    </w:p>
    <w:p w:rsidR="00000000" w:rsidRPr="00C142A6" w:rsidRDefault="007B25FC" w:rsidP="00C142A6">
      <w:pPr>
        <w:pStyle w:val="NoSpacing"/>
        <w:numPr>
          <w:ilvl w:val="1"/>
          <w:numId w:val="3"/>
        </w:numPr>
      </w:pPr>
      <w:r w:rsidRPr="00C142A6">
        <w:t xml:space="preserve">“…respect personal privacy”  </w:t>
      </w:r>
      <w:r w:rsidRPr="00C142A6">
        <w:tab/>
      </w:r>
      <w:r w:rsidRPr="00C142A6">
        <w:tab/>
      </w:r>
      <w:r w:rsidRPr="00C142A6">
        <w:tab/>
      </w:r>
      <w:r w:rsidR="00C142A6">
        <w:tab/>
      </w:r>
      <w:r w:rsidRPr="00C142A6">
        <w:t>(page 14)</w:t>
      </w:r>
    </w:p>
    <w:p w:rsidR="00000000" w:rsidRPr="00C142A6" w:rsidRDefault="007B25FC" w:rsidP="00C142A6">
      <w:pPr>
        <w:pStyle w:val="NoSpacing"/>
        <w:numPr>
          <w:ilvl w:val="1"/>
          <w:numId w:val="3"/>
        </w:numPr>
      </w:pPr>
      <w:r w:rsidRPr="00C142A6">
        <w:t>“…be structured</w:t>
      </w:r>
      <w:r w:rsidRPr="00C142A6">
        <w:t xml:space="preserve"> so that the risks tend to identify naturally with their classification”  </w:t>
      </w:r>
      <w:r w:rsidRPr="00C142A6">
        <w:tab/>
      </w:r>
      <w:r w:rsidRPr="00C142A6">
        <w:tab/>
      </w:r>
      <w:r w:rsidRPr="00C142A6">
        <w:tab/>
      </w:r>
      <w:r w:rsidRPr="00C142A6">
        <w:tab/>
      </w:r>
      <w:r w:rsidR="00C142A6">
        <w:tab/>
      </w:r>
      <w:r w:rsidR="00C142A6">
        <w:tab/>
      </w:r>
      <w:r w:rsidR="00C142A6">
        <w:tab/>
      </w:r>
      <w:r w:rsidR="00C142A6">
        <w:tab/>
      </w:r>
      <w:r w:rsidR="00C142A6">
        <w:tab/>
      </w:r>
      <w:r w:rsidR="00C142A6">
        <w:tab/>
      </w:r>
      <w:r w:rsidRPr="00C142A6">
        <w:t>(page 14)</w:t>
      </w:r>
    </w:p>
    <w:p w:rsidR="00C142A6" w:rsidRDefault="00C142A6" w:rsidP="00C142A6">
      <w:pPr>
        <w:pStyle w:val="NoSpacing"/>
      </w:pPr>
    </w:p>
    <w:p w:rsidR="007B25FC" w:rsidRDefault="007B25FC" w:rsidP="00C142A6">
      <w:pPr>
        <w:pStyle w:val="NoSpacing"/>
      </w:pPr>
    </w:p>
    <w:p w:rsidR="00000000" w:rsidRPr="00C142A6" w:rsidRDefault="007B25FC" w:rsidP="00C142A6">
      <w:pPr>
        <w:pStyle w:val="NoSpacing"/>
        <w:rPr>
          <w:u w:val="single"/>
        </w:rPr>
      </w:pPr>
      <w:r w:rsidRPr="00C142A6">
        <w:rPr>
          <w:u w:val="single"/>
        </w:rPr>
        <w:t>Ca</w:t>
      </w:r>
      <w:r w:rsidRPr="00C142A6">
        <w:rPr>
          <w:u w:val="single"/>
        </w:rPr>
        <w:t>usality</w:t>
      </w:r>
    </w:p>
    <w:p w:rsidR="00C142A6" w:rsidRPr="00C142A6" w:rsidRDefault="00C142A6" w:rsidP="00C142A6">
      <w:pPr>
        <w:pStyle w:val="NoSpacing"/>
      </w:pPr>
      <w:r w:rsidRPr="00C142A6">
        <w:t>Establishing cause and effect can boost the acceptability of a classification; however, this is not a requirement.  It is enough to establish a plausible relationship between the classification and the underlying risk.</w:t>
      </w:r>
    </w:p>
    <w:p w:rsidR="00C142A6" w:rsidRDefault="00C142A6" w:rsidP="00C142A6">
      <w:pPr>
        <w:pStyle w:val="NoSpacing"/>
      </w:pPr>
    </w:p>
    <w:p w:rsidR="007B25FC" w:rsidRDefault="007B25FC" w:rsidP="00C142A6">
      <w:pPr>
        <w:pStyle w:val="NoSpacing"/>
      </w:pPr>
    </w:p>
    <w:p w:rsidR="00000000" w:rsidRPr="00C142A6" w:rsidRDefault="007B25FC" w:rsidP="00C142A6">
      <w:pPr>
        <w:pStyle w:val="NoSpacing"/>
        <w:rPr>
          <w:u w:val="single"/>
        </w:rPr>
      </w:pPr>
      <w:r w:rsidRPr="00C142A6">
        <w:rPr>
          <w:u w:val="single"/>
        </w:rPr>
        <w:t>Controllability</w:t>
      </w:r>
    </w:p>
    <w:p w:rsidR="00C142A6" w:rsidRPr="00C142A6" w:rsidRDefault="00C142A6" w:rsidP="00C142A6">
      <w:pPr>
        <w:pStyle w:val="NoSpacing"/>
      </w:pPr>
      <w:r w:rsidRPr="00C142A6">
        <w:t>There are two sides to this coin.  If an insured can control which classification he/she is in, this can mean that the system is encouraging hazard reduction.  It can also mean that the system can be manipulated, leading to irrelevant results.</w:t>
      </w:r>
    </w:p>
    <w:p w:rsidR="0095715D" w:rsidRDefault="0095715D" w:rsidP="00C142A6">
      <w:pPr>
        <w:pStyle w:val="NoSpacing"/>
      </w:pPr>
    </w:p>
    <w:p w:rsidR="00C142A6" w:rsidRDefault="00C142A6" w:rsidP="00C142A6">
      <w:pPr>
        <w:pStyle w:val="NoSpacing"/>
      </w:pPr>
    </w:p>
    <w:p w:rsidR="00C142A6" w:rsidRDefault="00C142A6" w:rsidP="00C142A6">
      <w:pPr>
        <w:pStyle w:val="NoSpacing"/>
      </w:pPr>
    </w:p>
    <w:sectPr w:rsidR="00C142A6" w:rsidSect="00C142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C6DEE"/>
    <w:multiLevelType w:val="hybridMultilevel"/>
    <w:tmpl w:val="F84E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287F8B"/>
    <w:multiLevelType w:val="hybridMultilevel"/>
    <w:tmpl w:val="B56452AC"/>
    <w:lvl w:ilvl="0" w:tplc="EA0EADB4">
      <w:start w:val="1"/>
      <w:numFmt w:val="bullet"/>
      <w:lvlText w:val="•"/>
      <w:lvlJc w:val="left"/>
      <w:pPr>
        <w:tabs>
          <w:tab w:val="num" w:pos="720"/>
        </w:tabs>
        <w:ind w:left="720" w:hanging="360"/>
      </w:pPr>
      <w:rPr>
        <w:rFonts w:ascii="Arial" w:hAnsi="Arial" w:hint="default"/>
      </w:rPr>
    </w:lvl>
    <w:lvl w:ilvl="1" w:tplc="5FC80AFA">
      <w:numFmt w:val="bullet"/>
      <w:lvlText w:val="•"/>
      <w:lvlJc w:val="left"/>
      <w:pPr>
        <w:tabs>
          <w:tab w:val="num" w:pos="1440"/>
        </w:tabs>
        <w:ind w:left="1440" w:hanging="360"/>
      </w:pPr>
      <w:rPr>
        <w:rFonts w:ascii="Arial" w:hAnsi="Arial" w:hint="default"/>
      </w:rPr>
    </w:lvl>
    <w:lvl w:ilvl="2" w:tplc="66B6DD8A" w:tentative="1">
      <w:start w:val="1"/>
      <w:numFmt w:val="bullet"/>
      <w:lvlText w:val="•"/>
      <w:lvlJc w:val="left"/>
      <w:pPr>
        <w:tabs>
          <w:tab w:val="num" w:pos="2160"/>
        </w:tabs>
        <w:ind w:left="2160" w:hanging="360"/>
      </w:pPr>
      <w:rPr>
        <w:rFonts w:ascii="Arial" w:hAnsi="Arial" w:hint="default"/>
      </w:rPr>
    </w:lvl>
    <w:lvl w:ilvl="3" w:tplc="804C49FC" w:tentative="1">
      <w:start w:val="1"/>
      <w:numFmt w:val="bullet"/>
      <w:lvlText w:val="•"/>
      <w:lvlJc w:val="left"/>
      <w:pPr>
        <w:tabs>
          <w:tab w:val="num" w:pos="2880"/>
        </w:tabs>
        <w:ind w:left="2880" w:hanging="360"/>
      </w:pPr>
      <w:rPr>
        <w:rFonts w:ascii="Arial" w:hAnsi="Arial" w:hint="default"/>
      </w:rPr>
    </w:lvl>
    <w:lvl w:ilvl="4" w:tplc="A49ECAA0" w:tentative="1">
      <w:start w:val="1"/>
      <w:numFmt w:val="bullet"/>
      <w:lvlText w:val="•"/>
      <w:lvlJc w:val="left"/>
      <w:pPr>
        <w:tabs>
          <w:tab w:val="num" w:pos="3600"/>
        </w:tabs>
        <w:ind w:left="3600" w:hanging="360"/>
      </w:pPr>
      <w:rPr>
        <w:rFonts w:ascii="Arial" w:hAnsi="Arial" w:hint="default"/>
      </w:rPr>
    </w:lvl>
    <w:lvl w:ilvl="5" w:tplc="F476140A" w:tentative="1">
      <w:start w:val="1"/>
      <w:numFmt w:val="bullet"/>
      <w:lvlText w:val="•"/>
      <w:lvlJc w:val="left"/>
      <w:pPr>
        <w:tabs>
          <w:tab w:val="num" w:pos="4320"/>
        </w:tabs>
        <w:ind w:left="4320" w:hanging="360"/>
      </w:pPr>
      <w:rPr>
        <w:rFonts w:ascii="Arial" w:hAnsi="Arial" w:hint="default"/>
      </w:rPr>
    </w:lvl>
    <w:lvl w:ilvl="6" w:tplc="1BD2892E" w:tentative="1">
      <w:start w:val="1"/>
      <w:numFmt w:val="bullet"/>
      <w:lvlText w:val="•"/>
      <w:lvlJc w:val="left"/>
      <w:pPr>
        <w:tabs>
          <w:tab w:val="num" w:pos="5040"/>
        </w:tabs>
        <w:ind w:left="5040" w:hanging="360"/>
      </w:pPr>
      <w:rPr>
        <w:rFonts w:ascii="Arial" w:hAnsi="Arial" w:hint="default"/>
      </w:rPr>
    </w:lvl>
    <w:lvl w:ilvl="7" w:tplc="32AA2E06" w:tentative="1">
      <w:start w:val="1"/>
      <w:numFmt w:val="bullet"/>
      <w:lvlText w:val="•"/>
      <w:lvlJc w:val="left"/>
      <w:pPr>
        <w:tabs>
          <w:tab w:val="num" w:pos="5760"/>
        </w:tabs>
        <w:ind w:left="5760" w:hanging="360"/>
      </w:pPr>
      <w:rPr>
        <w:rFonts w:ascii="Arial" w:hAnsi="Arial" w:hint="default"/>
      </w:rPr>
    </w:lvl>
    <w:lvl w:ilvl="8" w:tplc="FBA451A8" w:tentative="1">
      <w:start w:val="1"/>
      <w:numFmt w:val="bullet"/>
      <w:lvlText w:val="•"/>
      <w:lvlJc w:val="left"/>
      <w:pPr>
        <w:tabs>
          <w:tab w:val="num" w:pos="6480"/>
        </w:tabs>
        <w:ind w:left="6480" w:hanging="360"/>
      </w:pPr>
      <w:rPr>
        <w:rFonts w:ascii="Arial" w:hAnsi="Arial" w:hint="default"/>
      </w:rPr>
    </w:lvl>
  </w:abstractNum>
  <w:abstractNum w:abstractNumId="2">
    <w:nsid w:val="473805BD"/>
    <w:multiLevelType w:val="hybridMultilevel"/>
    <w:tmpl w:val="AC54B114"/>
    <w:lvl w:ilvl="0" w:tplc="FFF286D8">
      <w:start w:val="1"/>
      <w:numFmt w:val="bullet"/>
      <w:lvlText w:val="•"/>
      <w:lvlJc w:val="left"/>
      <w:pPr>
        <w:tabs>
          <w:tab w:val="num" w:pos="720"/>
        </w:tabs>
        <w:ind w:left="720" w:hanging="360"/>
      </w:pPr>
      <w:rPr>
        <w:rFonts w:ascii="Arial" w:hAnsi="Arial" w:hint="default"/>
      </w:rPr>
    </w:lvl>
    <w:lvl w:ilvl="1" w:tplc="6F546494">
      <w:start w:val="1"/>
      <w:numFmt w:val="bullet"/>
      <w:lvlText w:val="•"/>
      <w:lvlJc w:val="left"/>
      <w:pPr>
        <w:tabs>
          <w:tab w:val="num" w:pos="1440"/>
        </w:tabs>
        <w:ind w:left="1440" w:hanging="360"/>
      </w:pPr>
      <w:rPr>
        <w:rFonts w:ascii="Arial" w:hAnsi="Arial" w:hint="default"/>
      </w:rPr>
    </w:lvl>
    <w:lvl w:ilvl="2" w:tplc="1E3A1F9A" w:tentative="1">
      <w:start w:val="1"/>
      <w:numFmt w:val="bullet"/>
      <w:lvlText w:val="•"/>
      <w:lvlJc w:val="left"/>
      <w:pPr>
        <w:tabs>
          <w:tab w:val="num" w:pos="2160"/>
        </w:tabs>
        <w:ind w:left="2160" w:hanging="360"/>
      </w:pPr>
      <w:rPr>
        <w:rFonts w:ascii="Arial" w:hAnsi="Arial" w:hint="default"/>
      </w:rPr>
    </w:lvl>
    <w:lvl w:ilvl="3" w:tplc="DB201758" w:tentative="1">
      <w:start w:val="1"/>
      <w:numFmt w:val="bullet"/>
      <w:lvlText w:val="•"/>
      <w:lvlJc w:val="left"/>
      <w:pPr>
        <w:tabs>
          <w:tab w:val="num" w:pos="2880"/>
        </w:tabs>
        <w:ind w:left="2880" w:hanging="360"/>
      </w:pPr>
      <w:rPr>
        <w:rFonts w:ascii="Arial" w:hAnsi="Arial" w:hint="default"/>
      </w:rPr>
    </w:lvl>
    <w:lvl w:ilvl="4" w:tplc="0CD0036C" w:tentative="1">
      <w:start w:val="1"/>
      <w:numFmt w:val="bullet"/>
      <w:lvlText w:val="•"/>
      <w:lvlJc w:val="left"/>
      <w:pPr>
        <w:tabs>
          <w:tab w:val="num" w:pos="3600"/>
        </w:tabs>
        <w:ind w:left="3600" w:hanging="360"/>
      </w:pPr>
      <w:rPr>
        <w:rFonts w:ascii="Arial" w:hAnsi="Arial" w:hint="default"/>
      </w:rPr>
    </w:lvl>
    <w:lvl w:ilvl="5" w:tplc="7DCA47AC" w:tentative="1">
      <w:start w:val="1"/>
      <w:numFmt w:val="bullet"/>
      <w:lvlText w:val="•"/>
      <w:lvlJc w:val="left"/>
      <w:pPr>
        <w:tabs>
          <w:tab w:val="num" w:pos="4320"/>
        </w:tabs>
        <w:ind w:left="4320" w:hanging="360"/>
      </w:pPr>
      <w:rPr>
        <w:rFonts w:ascii="Arial" w:hAnsi="Arial" w:hint="default"/>
      </w:rPr>
    </w:lvl>
    <w:lvl w:ilvl="6" w:tplc="F5567EFE" w:tentative="1">
      <w:start w:val="1"/>
      <w:numFmt w:val="bullet"/>
      <w:lvlText w:val="•"/>
      <w:lvlJc w:val="left"/>
      <w:pPr>
        <w:tabs>
          <w:tab w:val="num" w:pos="5040"/>
        </w:tabs>
        <w:ind w:left="5040" w:hanging="360"/>
      </w:pPr>
      <w:rPr>
        <w:rFonts w:ascii="Arial" w:hAnsi="Arial" w:hint="default"/>
      </w:rPr>
    </w:lvl>
    <w:lvl w:ilvl="7" w:tplc="363272D8" w:tentative="1">
      <w:start w:val="1"/>
      <w:numFmt w:val="bullet"/>
      <w:lvlText w:val="•"/>
      <w:lvlJc w:val="left"/>
      <w:pPr>
        <w:tabs>
          <w:tab w:val="num" w:pos="5760"/>
        </w:tabs>
        <w:ind w:left="5760" w:hanging="360"/>
      </w:pPr>
      <w:rPr>
        <w:rFonts w:ascii="Arial" w:hAnsi="Arial" w:hint="default"/>
      </w:rPr>
    </w:lvl>
    <w:lvl w:ilvl="8" w:tplc="41DAAA50" w:tentative="1">
      <w:start w:val="1"/>
      <w:numFmt w:val="bullet"/>
      <w:lvlText w:val="•"/>
      <w:lvlJc w:val="left"/>
      <w:pPr>
        <w:tabs>
          <w:tab w:val="num" w:pos="6480"/>
        </w:tabs>
        <w:ind w:left="6480" w:hanging="360"/>
      </w:pPr>
      <w:rPr>
        <w:rFonts w:ascii="Arial" w:hAnsi="Arial" w:hint="default"/>
      </w:rPr>
    </w:lvl>
  </w:abstractNum>
  <w:abstractNum w:abstractNumId="3">
    <w:nsid w:val="58BA29FC"/>
    <w:multiLevelType w:val="hybridMultilevel"/>
    <w:tmpl w:val="C0A65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DF119E"/>
    <w:multiLevelType w:val="hybridMultilevel"/>
    <w:tmpl w:val="17627352"/>
    <w:lvl w:ilvl="0" w:tplc="8C74D03E">
      <w:start w:val="1"/>
      <w:numFmt w:val="bullet"/>
      <w:lvlText w:val="•"/>
      <w:lvlJc w:val="left"/>
      <w:pPr>
        <w:tabs>
          <w:tab w:val="num" w:pos="720"/>
        </w:tabs>
        <w:ind w:left="720" w:hanging="360"/>
      </w:pPr>
      <w:rPr>
        <w:rFonts w:ascii="Arial" w:hAnsi="Arial" w:hint="default"/>
      </w:rPr>
    </w:lvl>
    <w:lvl w:ilvl="1" w:tplc="72E40120">
      <w:start w:val="1"/>
      <w:numFmt w:val="bullet"/>
      <w:lvlText w:val="•"/>
      <w:lvlJc w:val="left"/>
      <w:pPr>
        <w:tabs>
          <w:tab w:val="num" w:pos="1440"/>
        </w:tabs>
        <w:ind w:left="1440" w:hanging="360"/>
      </w:pPr>
      <w:rPr>
        <w:rFonts w:ascii="Arial" w:hAnsi="Arial" w:hint="default"/>
      </w:rPr>
    </w:lvl>
    <w:lvl w:ilvl="2" w:tplc="8ACE71C2" w:tentative="1">
      <w:start w:val="1"/>
      <w:numFmt w:val="bullet"/>
      <w:lvlText w:val="•"/>
      <w:lvlJc w:val="left"/>
      <w:pPr>
        <w:tabs>
          <w:tab w:val="num" w:pos="2160"/>
        </w:tabs>
        <w:ind w:left="2160" w:hanging="360"/>
      </w:pPr>
      <w:rPr>
        <w:rFonts w:ascii="Arial" w:hAnsi="Arial" w:hint="default"/>
      </w:rPr>
    </w:lvl>
    <w:lvl w:ilvl="3" w:tplc="8D1E622E" w:tentative="1">
      <w:start w:val="1"/>
      <w:numFmt w:val="bullet"/>
      <w:lvlText w:val="•"/>
      <w:lvlJc w:val="left"/>
      <w:pPr>
        <w:tabs>
          <w:tab w:val="num" w:pos="2880"/>
        </w:tabs>
        <w:ind w:left="2880" w:hanging="360"/>
      </w:pPr>
      <w:rPr>
        <w:rFonts w:ascii="Arial" w:hAnsi="Arial" w:hint="default"/>
      </w:rPr>
    </w:lvl>
    <w:lvl w:ilvl="4" w:tplc="03566F40" w:tentative="1">
      <w:start w:val="1"/>
      <w:numFmt w:val="bullet"/>
      <w:lvlText w:val="•"/>
      <w:lvlJc w:val="left"/>
      <w:pPr>
        <w:tabs>
          <w:tab w:val="num" w:pos="3600"/>
        </w:tabs>
        <w:ind w:left="3600" w:hanging="360"/>
      </w:pPr>
      <w:rPr>
        <w:rFonts w:ascii="Arial" w:hAnsi="Arial" w:hint="default"/>
      </w:rPr>
    </w:lvl>
    <w:lvl w:ilvl="5" w:tplc="74428BA2" w:tentative="1">
      <w:start w:val="1"/>
      <w:numFmt w:val="bullet"/>
      <w:lvlText w:val="•"/>
      <w:lvlJc w:val="left"/>
      <w:pPr>
        <w:tabs>
          <w:tab w:val="num" w:pos="4320"/>
        </w:tabs>
        <w:ind w:left="4320" w:hanging="360"/>
      </w:pPr>
      <w:rPr>
        <w:rFonts w:ascii="Arial" w:hAnsi="Arial" w:hint="default"/>
      </w:rPr>
    </w:lvl>
    <w:lvl w:ilvl="6" w:tplc="66D8D2BA" w:tentative="1">
      <w:start w:val="1"/>
      <w:numFmt w:val="bullet"/>
      <w:lvlText w:val="•"/>
      <w:lvlJc w:val="left"/>
      <w:pPr>
        <w:tabs>
          <w:tab w:val="num" w:pos="5040"/>
        </w:tabs>
        <w:ind w:left="5040" w:hanging="360"/>
      </w:pPr>
      <w:rPr>
        <w:rFonts w:ascii="Arial" w:hAnsi="Arial" w:hint="default"/>
      </w:rPr>
    </w:lvl>
    <w:lvl w:ilvl="7" w:tplc="A970B3D2" w:tentative="1">
      <w:start w:val="1"/>
      <w:numFmt w:val="bullet"/>
      <w:lvlText w:val="•"/>
      <w:lvlJc w:val="left"/>
      <w:pPr>
        <w:tabs>
          <w:tab w:val="num" w:pos="5760"/>
        </w:tabs>
        <w:ind w:left="5760" w:hanging="360"/>
      </w:pPr>
      <w:rPr>
        <w:rFonts w:ascii="Arial" w:hAnsi="Arial" w:hint="default"/>
      </w:rPr>
    </w:lvl>
    <w:lvl w:ilvl="8" w:tplc="1294048A" w:tentative="1">
      <w:start w:val="1"/>
      <w:numFmt w:val="bullet"/>
      <w:lvlText w:val="•"/>
      <w:lvlJc w:val="left"/>
      <w:pPr>
        <w:tabs>
          <w:tab w:val="num" w:pos="6480"/>
        </w:tabs>
        <w:ind w:left="6480" w:hanging="360"/>
      </w:pPr>
      <w:rPr>
        <w:rFonts w:ascii="Arial" w:hAnsi="Arial" w:hint="default"/>
      </w:rPr>
    </w:lvl>
  </w:abstractNum>
  <w:abstractNum w:abstractNumId="5">
    <w:nsid w:val="7CF172F0"/>
    <w:multiLevelType w:val="hybridMultilevel"/>
    <w:tmpl w:val="81E48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2A6"/>
    <w:rsid w:val="007B25FC"/>
    <w:rsid w:val="0095715D"/>
    <w:rsid w:val="00C14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42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42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38394">
      <w:bodyDiv w:val="1"/>
      <w:marLeft w:val="0"/>
      <w:marRight w:val="0"/>
      <w:marTop w:val="0"/>
      <w:marBottom w:val="0"/>
      <w:divBdr>
        <w:top w:val="none" w:sz="0" w:space="0" w:color="auto"/>
        <w:left w:val="none" w:sz="0" w:space="0" w:color="auto"/>
        <w:bottom w:val="none" w:sz="0" w:space="0" w:color="auto"/>
        <w:right w:val="none" w:sz="0" w:space="0" w:color="auto"/>
      </w:divBdr>
      <w:divsChild>
        <w:div w:id="1702240549">
          <w:marLeft w:val="1166"/>
          <w:marRight w:val="0"/>
          <w:marTop w:val="96"/>
          <w:marBottom w:val="0"/>
          <w:divBdr>
            <w:top w:val="none" w:sz="0" w:space="0" w:color="auto"/>
            <w:left w:val="none" w:sz="0" w:space="0" w:color="auto"/>
            <w:bottom w:val="none" w:sz="0" w:space="0" w:color="auto"/>
            <w:right w:val="none" w:sz="0" w:space="0" w:color="auto"/>
          </w:divBdr>
        </w:div>
        <w:div w:id="727268672">
          <w:marLeft w:val="1166"/>
          <w:marRight w:val="0"/>
          <w:marTop w:val="96"/>
          <w:marBottom w:val="0"/>
          <w:divBdr>
            <w:top w:val="none" w:sz="0" w:space="0" w:color="auto"/>
            <w:left w:val="none" w:sz="0" w:space="0" w:color="auto"/>
            <w:bottom w:val="none" w:sz="0" w:space="0" w:color="auto"/>
            <w:right w:val="none" w:sz="0" w:space="0" w:color="auto"/>
          </w:divBdr>
        </w:div>
        <w:div w:id="382608361">
          <w:marLeft w:val="1166"/>
          <w:marRight w:val="0"/>
          <w:marTop w:val="96"/>
          <w:marBottom w:val="0"/>
          <w:divBdr>
            <w:top w:val="none" w:sz="0" w:space="0" w:color="auto"/>
            <w:left w:val="none" w:sz="0" w:space="0" w:color="auto"/>
            <w:bottom w:val="none" w:sz="0" w:space="0" w:color="auto"/>
            <w:right w:val="none" w:sz="0" w:space="0" w:color="auto"/>
          </w:divBdr>
        </w:div>
        <w:div w:id="1456170758">
          <w:marLeft w:val="1166"/>
          <w:marRight w:val="0"/>
          <w:marTop w:val="96"/>
          <w:marBottom w:val="0"/>
          <w:divBdr>
            <w:top w:val="none" w:sz="0" w:space="0" w:color="auto"/>
            <w:left w:val="none" w:sz="0" w:space="0" w:color="auto"/>
            <w:bottom w:val="none" w:sz="0" w:space="0" w:color="auto"/>
            <w:right w:val="none" w:sz="0" w:space="0" w:color="auto"/>
          </w:divBdr>
        </w:div>
        <w:div w:id="1453668963">
          <w:marLeft w:val="1166"/>
          <w:marRight w:val="0"/>
          <w:marTop w:val="96"/>
          <w:marBottom w:val="0"/>
          <w:divBdr>
            <w:top w:val="none" w:sz="0" w:space="0" w:color="auto"/>
            <w:left w:val="none" w:sz="0" w:space="0" w:color="auto"/>
            <w:bottom w:val="none" w:sz="0" w:space="0" w:color="auto"/>
            <w:right w:val="none" w:sz="0" w:space="0" w:color="auto"/>
          </w:divBdr>
        </w:div>
        <w:div w:id="1399859895">
          <w:marLeft w:val="1166"/>
          <w:marRight w:val="0"/>
          <w:marTop w:val="96"/>
          <w:marBottom w:val="0"/>
          <w:divBdr>
            <w:top w:val="none" w:sz="0" w:space="0" w:color="auto"/>
            <w:left w:val="none" w:sz="0" w:space="0" w:color="auto"/>
            <w:bottom w:val="none" w:sz="0" w:space="0" w:color="auto"/>
            <w:right w:val="none" w:sz="0" w:space="0" w:color="auto"/>
          </w:divBdr>
        </w:div>
        <w:div w:id="486894887">
          <w:marLeft w:val="1166"/>
          <w:marRight w:val="0"/>
          <w:marTop w:val="96"/>
          <w:marBottom w:val="0"/>
          <w:divBdr>
            <w:top w:val="none" w:sz="0" w:space="0" w:color="auto"/>
            <w:left w:val="none" w:sz="0" w:space="0" w:color="auto"/>
            <w:bottom w:val="none" w:sz="0" w:space="0" w:color="auto"/>
            <w:right w:val="none" w:sz="0" w:space="0" w:color="auto"/>
          </w:divBdr>
        </w:div>
      </w:divsChild>
    </w:div>
    <w:div w:id="378096281">
      <w:bodyDiv w:val="1"/>
      <w:marLeft w:val="0"/>
      <w:marRight w:val="0"/>
      <w:marTop w:val="0"/>
      <w:marBottom w:val="0"/>
      <w:divBdr>
        <w:top w:val="none" w:sz="0" w:space="0" w:color="auto"/>
        <w:left w:val="none" w:sz="0" w:space="0" w:color="auto"/>
        <w:bottom w:val="none" w:sz="0" w:space="0" w:color="auto"/>
        <w:right w:val="none" w:sz="0" w:space="0" w:color="auto"/>
      </w:divBdr>
    </w:div>
    <w:div w:id="392120567">
      <w:bodyDiv w:val="1"/>
      <w:marLeft w:val="0"/>
      <w:marRight w:val="0"/>
      <w:marTop w:val="0"/>
      <w:marBottom w:val="0"/>
      <w:divBdr>
        <w:top w:val="none" w:sz="0" w:space="0" w:color="auto"/>
        <w:left w:val="none" w:sz="0" w:space="0" w:color="auto"/>
        <w:bottom w:val="none" w:sz="0" w:space="0" w:color="auto"/>
        <w:right w:val="none" w:sz="0" w:space="0" w:color="auto"/>
      </w:divBdr>
    </w:div>
    <w:div w:id="601836531">
      <w:bodyDiv w:val="1"/>
      <w:marLeft w:val="0"/>
      <w:marRight w:val="0"/>
      <w:marTop w:val="0"/>
      <w:marBottom w:val="0"/>
      <w:divBdr>
        <w:top w:val="none" w:sz="0" w:space="0" w:color="auto"/>
        <w:left w:val="none" w:sz="0" w:space="0" w:color="auto"/>
        <w:bottom w:val="none" w:sz="0" w:space="0" w:color="auto"/>
        <w:right w:val="none" w:sz="0" w:space="0" w:color="auto"/>
      </w:divBdr>
    </w:div>
    <w:div w:id="1147744023">
      <w:bodyDiv w:val="1"/>
      <w:marLeft w:val="0"/>
      <w:marRight w:val="0"/>
      <w:marTop w:val="0"/>
      <w:marBottom w:val="0"/>
      <w:divBdr>
        <w:top w:val="none" w:sz="0" w:space="0" w:color="auto"/>
        <w:left w:val="none" w:sz="0" w:space="0" w:color="auto"/>
        <w:bottom w:val="none" w:sz="0" w:space="0" w:color="auto"/>
        <w:right w:val="none" w:sz="0" w:space="0" w:color="auto"/>
      </w:divBdr>
    </w:div>
    <w:div w:id="1382362667">
      <w:bodyDiv w:val="1"/>
      <w:marLeft w:val="0"/>
      <w:marRight w:val="0"/>
      <w:marTop w:val="0"/>
      <w:marBottom w:val="0"/>
      <w:divBdr>
        <w:top w:val="none" w:sz="0" w:space="0" w:color="auto"/>
        <w:left w:val="none" w:sz="0" w:space="0" w:color="auto"/>
        <w:bottom w:val="none" w:sz="0" w:space="0" w:color="auto"/>
        <w:right w:val="none" w:sz="0" w:space="0" w:color="auto"/>
      </w:divBdr>
    </w:div>
    <w:div w:id="1472821434">
      <w:bodyDiv w:val="1"/>
      <w:marLeft w:val="0"/>
      <w:marRight w:val="0"/>
      <w:marTop w:val="0"/>
      <w:marBottom w:val="0"/>
      <w:divBdr>
        <w:top w:val="none" w:sz="0" w:space="0" w:color="auto"/>
        <w:left w:val="none" w:sz="0" w:space="0" w:color="auto"/>
        <w:bottom w:val="none" w:sz="0" w:space="0" w:color="auto"/>
        <w:right w:val="none" w:sz="0" w:space="0" w:color="auto"/>
      </w:divBdr>
    </w:div>
    <w:div w:id="1522744667">
      <w:bodyDiv w:val="1"/>
      <w:marLeft w:val="0"/>
      <w:marRight w:val="0"/>
      <w:marTop w:val="0"/>
      <w:marBottom w:val="0"/>
      <w:divBdr>
        <w:top w:val="none" w:sz="0" w:space="0" w:color="auto"/>
        <w:left w:val="none" w:sz="0" w:space="0" w:color="auto"/>
        <w:bottom w:val="none" w:sz="0" w:space="0" w:color="auto"/>
        <w:right w:val="none" w:sz="0" w:space="0" w:color="auto"/>
      </w:divBdr>
      <w:divsChild>
        <w:div w:id="1581253159">
          <w:marLeft w:val="720"/>
          <w:marRight w:val="0"/>
          <w:marTop w:val="0"/>
          <w:marBottom w:val="0"/>
          <w:divBdr>
            <w:top w:val="none" w:sz="0" w:space="0" w:color="auto"/>
            <w:left w:val="none" w:sz="0" w:space="0" w:color="auto"/>
            <w:bottom w:val="none" w:sz="0" w:space="0" w:color="auto"/>
            <w:right w:val="none" w:sz="0" w:space="0" w:color="auto"/>
          </w:divBdr>
        </w:div>
        <w:div w:id="1830361278">
          <w:marLeft w:val="720"/>
          <w:marRight w:val="0"/>
          <w:marTop w:val="0"/>
          <w:marBottom w:val="0"/>
          <w:divBdr>
            <w:top w:val="none" w:sz="0" w:space="0" w:color="auto"/>
            <w:left w:val="none" w:sz="0" w:space="0" w:color="auto"/>
            <w:bottom w:val="none" w:sz="0" w:space="0" w:color="auto"/>
            <w:right w:val="none" w:sz="0" w:space="0" w:color="auto"/>
          </w:divBdr>
        </w:div>
        <w:div w:id="966592207">
          <w:marLeft w:val="720"/>
          <w:marRight w:val="0"/>
          <w:marTop w:val="0"/>
          <w:marBottom w:val="0"/>
          <w:divBdr>
            <w:top w:val="none" w:sz="0" w:space="0" w:color="auto"/>
            <w:left w:val="none" w:sz="0" w:space="0" w:color="auto"/>
            <w:bottom w:val="none" w:sz="0" w:space="0" w:color="auto"/>
            <w:right w:val="none" w:sz="0" w:space="0" w:color="auto"/>
          </w:divBdr>
        </w:div>
        <w:div w:id="247274607">
          <w:marLeft w:val="720"/>
          <w:marRight w:val="0"/>
          <w:marTop w:val="0"/>
          <w:marBottom w:val="0"/>
          <w:divBdr>
            <w:top w:val="none" w:sz="0" w:space="0" w:color="auto"/>
            <w:left w:val="none" w:sz="0" w:space="0" w:color="auto"/>
            <w:bottom w:val="none" w:sz="0" w:space="0" w:color="auto"/>
            <w:right w:val="none" w:sz="0" w:space="0" w:color="auto"/>
          </w:divBdr>
        </w:div>
      </w:divsChild>
    </w:div>
    <w:div w:id="1628387098">
      <w:bodyDiv w:val="1"/>
      <w:marLeft w:val="0"/>
      <w:marRight w:val="0"/>
      <w:marTop w:val="0"/>
      <w:marBottom w:val="0"/>
      <w:divBdr>
        <w:top w:val="none" w:sz="0" w:space="0" w:color="auto"/>
        <w:left w:val="none" w:sz="0" w:space="0" w:color="auto"/>
        <w:bottom w:val="none" w:sz="0" w:space="0" w:color="auto"/>
        <w:right w:val="none" w:sz="0" w:space="0" w:color="auto"/>
      </w:divBdr>
    </w:div>
    <w:div w:id="1675062980">
      <w:bodyDiv w:val="1"/>
      <w:marLeft w:val="0"/>
      <w:marRight w:val="0"/>
      <w:marTop w:val="0"/>
      <w:marBottom w:val="0"/>
      <w:divBdr>
        <w:top w:val="none" w:sz="0" w:space="0" w:color="auto"/>
        <w:left w:val="none" w:sz="0" w:space="0" w:color="auto"/>
        <w:bottom w:val="none" w:sz="0" w:space="0" w:color="auto"/>
        <w:right w:val="none" w:sz="0" w:space="0" w:color="auto"/>
      </w:divBdr>
    </w:div>
    <w:div w:id="1946380341">
      <w:bodyDiv w:val="1"/>
      <w:marLeft w:val="0"/>
      <w:marRight w:val="0"/>
      <w:marTop w:val="0"/>
      <w:marBottom w:val="0"/>
      <w:divBdr>
        <w:top w:val="none" w:sz="0" w:space="0" w:color="auto"/>
        <w:left w:val="none" w:sz="0" w:space="0" w:color="auto"/>
        <w:bottom w:val="none" w:sz="0" w:space="0" w:color="auto"/>
        <w:right w:val="none" w:sz="0" w:space="0" w:color="auto"/>
      </w:divBdr>
    </w:div>
    <w:div w:id="2052413499">
      <w:bodyDiv w:val="1"/>
      <w:marLeft w:val="0"/>
      <w:marRight w:val="0"/>
      <w:marTop w:val="0"/>
      <w:marBottom w:val="0"/>
      <w:divBdr>
        <w:top w:val="none" w:sz="0" w:space="0" w:color="auto"/>
        <w:left w:val="none" w:sz="0" w:space="0" w:color="auto"/>
        <w:bottom w:val="none" w:sz="0" w:space="0" w:color="auto"/>
        <w:right w:val="none" w:sz="0" w:space="0" w:color="auto"/>
      </w:divBdr>
    </w:div>
    <w:div w:id="211786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Cooksey</dc:creator>
  <cp:lastModifiedBy>Chris Cooksey</cp:lastModifiedBy>
  <cp:revision>1</cp:revision>
  <dcterms:created xsi:type="dcterms:W3CDTF">2012-02-16T17:05:00Z</dcterms:created>
  <dcterms:modified xsi:type="dcterms:W3CDTF">2012-02-16T17:20:00Z</dcterms:modified>
</cp:coreProperties>
</file>